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3175"/>
      </w:tblGrid>
      <w:tr w:rsidR="00BD1EE4" w:rsidRPr="00DA4DE3" w:rsidTr="00947551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BD1EE4" w:rsidRPr="00DA4DE3" w:rsidRDefault="00BD1EE4" w:rsidP="00BD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moxifloxacine </w:t>
            </w:r>
          </w:p>
        </w:tc>
        <w:tc>
          <w:tcPr>
            <w:tcW w:w="0" w:type="auto"/>
            <w:vAlign w:val="center"/>
            <w:hideMark/>
          </w:tcPr>
          <w:p w:rsidR="00BD1EE4" w:rsidRPr="00DA4DE3" w:rsidRDefault="00BD1EE4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Toc142278917"/>
      <w:bookmarkStart w:id="1" w:name="Rcp_4_8_EffetsIndesirables_6"/>
      <w:bookmarkEnd w:id="0"/>
      <w:bookmarkEnd w:id="1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événements indésirables observés dans les essais cliniques avec la </w:t>
      </w:r>
      <w:proofErr w:type="spellStart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moxifloxacine</w:t>
      </w:r>
      <w:proofErr w:type="spellEnd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administrée à raison de 400 mg par jour par voies IV ou orale (administration par voie intraveineuse uniquement, traitement séquentiel [voie intraveineuse/voie orale] et administration par voie orale), sont énumérés ci-dessous classés selon les catégories de fréquence: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Hormis les nausées et les diarrhées, tous les événements indésirables ont été observés à une fréquence inférieure à 3 %.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chaque catégorie de fréquence, les effets indésirables sont présentés par ordre décroissant de gravité.</w:t>
      </w: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fréquences sont définies ainsi : </w:t>
      </w:r>
    </w:p>
    <w:p w:rsidR="00BD1EE4" w:rsidRPr="00DA4DE3" w:rsidRDefault="00BD1EE4" w:rsidP="00BD1E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 (≥ 1/100 à &lt; 1/10) </w:t>
      </w:r>
    </w:p>
    <w:p w:rsidR="00BD1EE4" w:rsidRPr="00DA4DE3" w:rsidRDefault="00BD1EE4" w:rsidP="00BD1E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 (≥ 1/1 000 à &lt; 1/100) </w:t>
      </w:r>
    </w:p>
    <w:p w:rsidR="00BD1EE4" w:rsidRPr="00DA4DE3" w:rsidRDefault="00BD1EE4" w:rsidP="00BD1EE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 (≥ 1/10 000 à &lt; 1/1 000)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rare (&lt; 1/10 000). </w:t>
      </w:r>
    </w:p>
    <w:tbl>
      <w:tblPr>
        <w:tblW w:w="996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6"/>
        <w:gridCol w:w="1876"/>
        <w:gridCol w:w="2916"/>
        <w:gridCol w:w="2249"/>
        <w:gridCol w:w="2089"/>
      </w:tblGrid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Classe de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systèmes organes (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MedDRA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Infections et infestations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Surinfections bactériennes ou fongiques dues à un micro-organisme résistant telles que candidoses orales ou vaginales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hématologiques et du système lymphatique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Anémie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Leucopénie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Neutropénie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Thrombopénie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Thrombocytémie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Eosinophilie sanguine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Diminution du taux de </w:t>
            </w: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prothrombine/augmentation de l'INR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du taux de prothrombine / diminution de l'INR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Agranulocytose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du système immunitaire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allergiques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anaphylactiques dont très rare choc pouvant mettre en jeu le pronostic vital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 allergique / Œdème de Quincke (y compris œdème laryngé pouvant mettre en jeu le pronostic vital)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 de la nutrition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Hyperlipidémie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Hyperglycémie </w:t>
            </w:r>
          </w:p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Hyperuricémie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d'anxiété </w:t>
            </w:r>
          </w:p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Hyperactivité psychomotrice/agitation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Instabilité émotionnelle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 (dans de très rares cas pouvant aboutir à des actes d'auto-agression, tels </w:t>
            </w:r>
            <w:proofErr w:type="gram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que idées/pensées</w:t>
            </w:r>
            <w:proofErr w:type="gram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suicidaires ou tentatives de suicide, voir rubrique 4.4) </w:t>
            </w:r>
          </w:p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Hallucinations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Dépersonnalisation </w:t>
            </w:r>
          </w:p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psychotiques (pouvant aboutir à des actes d'auto-agression tels que idées/pensées suicidaires ou tentatives de suicide, voir rubrique 4.4)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nerveux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Sensations vertigineuses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Par- et Dysesthésies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Perversion du goût (y compris perte du goût dans de très rares cas)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Confusion et désorientation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sommeil (particulièrement insomnie)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Tremblements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Hypoesthésies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Perversion de l'odorat (y compris perte de l'odorat)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Cauchemars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coordination (y compris troubles de </w:t>
            </w: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la marche en particulier dus aux étourdissements ou aux vertiges)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Convulsions (y compris grand mal)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l'attention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parole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Amnésie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Neuropathie périphérique et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polyneuropathie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Hyperesthésies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oculaires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visuels y compris diplopie et vision floue (en particulier au cours de réactions du SNC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de vision transitoire (en particulier au cours de réactions neurologiques (voir rubriques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</w:t>
            </w:r>
            <w:hyperlink w:anchor="machi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Conduite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).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l'oreille et du labyrinthe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l'audition y compris surdité (généralement réversible)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cardiaques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Allongement de l'intervalle QT chez des patients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hypokaliémiques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(voir rubriques </w:t>
            </w:r>
            <w:hyperlink w:anchor="contr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Contre-indications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Allongement de l'intervalle QT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Fibrillation auriculaire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Angor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Tachyarythmies ventriculaires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Syncope (ex : brèves pertes de connaissance) </w:t>
            </w:r>
          </w:p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Arythmies cardiaques (non spécifiées)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Torsade de Pointes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Arrêt cardiaque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vasculaires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Vasodilatation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 (y compris asthme)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gastro-intestinales et abdominales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Diarrhée </w:t>
            </w:r>
          </w:p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Diminution de l'appétit et de la prise alimentaire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Dyspepsie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Flatulence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Gastrite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 l'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amylasémie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Dysphagie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Stomatites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Colites associées aux antibiotiques (y compris colite pseudomembraneuse associée dans de très rares cas à des complications mettant en jeu le pronostic vital)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hépato-biliaires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 transaminases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Altération de la fonction hépatique (dont augmentation des LDH)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bilirubine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Augmentation de la gamma-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glutamyl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-transférase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 phosphatases alcalines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Ictère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(essentiellement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cholestatique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fulminante pouvant aboutir à une insuffisance hépatique menaçant le pronostic vital (parfois fatale)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Urticaire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Sècheresse cutanée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cutanées bulleuses à type de Syndrome de Stevens-Johnson </w:t>
            </w: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ou syndrome de Lyell (pouvant menacer le pronostic vital, voir rubrique 4.4)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</w:t>
            </w:r>
            <w:proofErr w:type="spell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-squelettiques et systémiques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Myalgies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Tendinites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Crampes musculaires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Fasciculations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Faiblesse musculaire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Rupture des tendons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Arthrite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Rigidité musculaire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Exacerbation des symptômes de myasthénie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rein et des voies urinaires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Déshydratation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Altération de la fonction rénale (dont augmentation de la créatinine et urée)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 (voir rubrique </w:t>
            </w:r>
            <w:hyperlink w:anchor="mises" w:history="1">
              <w:r w:rsidRPr="00DA4DE3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u w:val="single"/>
                  <w:lang w:eastAsia="fr-FR"/>
                </w:rPr>
                <w:t>Mises en garde et précautions d'emploi</w:t>
              </w:r>
            </w:hyperlink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D1EE4" w:rsidRPr="00DA4DE3" w:rsidTr="00947551">
        <w:trPr>
          <w:tblCellSpacing w:w="0" w:type="dxa"/>
          <w:jc w:val="center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au site d'injection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 de mal-être (essentiellement asthénie ou fatigue)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(incluant douleurs dorsales, thoraciques, pelviennes et des extrémités)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Sudation </w:t>
            </w:r>
          </w:p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( </w:t>
            </w:r>
            <w:proofErr w:type="spellStart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</w:t>
            </w:r>
            <w:proofErr w:type="spellEnd"/>
            <w:proofErr w:type="gramEnd"/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-)phlébite au site de perfusion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before="100" w:beforeAutospacing="1"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E4" w:rsidRPr="00DA4DE3" w:rsidRDefault="00BD1EE4" w:rsidP="0094755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D1EE4" w:rsidRPr="00DA4DE3" w:rsidRDefault="00BD1EE4" w:rsidP="00BD1EE4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ont été observés à une fréquence plus élevée dans le sous-groupe des patients traités par voie intraveineuse, avec ou sans traitement oral séquentiel: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Fréquents: augmentation des gamma-GT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fréquents: tachyarythmies ventriculaires, hypotension, œdème, colite associée à l'antibiotique (y compris colite pseudomembraneuse, dans de très rares cas associée à des complications pouvant mettre en jeu le pronostic vital; </w:t>
      </w:r>
      <w:hyperlink w:anchor="Rcp_4_4_MisesEnGarde_2" w:history="1">
        <w:r w:rsidRPr="00DA4DE3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voir rubrique Mises en garde et précautions d'emploi</w:t>
        </w:r>
      </w:hyperlink>
      <w:hyperlink w:anchor="Rcp_4_4_MisesEnGarde_2" w:history="1"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</w:hyperlink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), crises convulsives y compris des crises de grand mal (</w:t>
      </w:r>
      <w:hyperlink w:anchor="Rcp_4_4_MisesEnGarde_2" w:history="1"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DA4DE3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voir rubrique Mises en garde et précautions d'emploi</w:t>
        </w:r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</w:hyperlink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), hallucinations, altération de la fonction rénale (dont augmentation de l'urée et de la créatinine), insuffisance rénale (</w:t>
      </w:r>
      <w:hyperlink w:anchor="Rcp_4_4_MisesEnGarde_2" w:history="1"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DA4DE3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voir rubrique Mises en garde et précautions d'emploi</w:t>
        </w:r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</w:hyperlink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BD1EE4" w:rsidRPr="00DA4DE3" w:rsidRDefault="00BD1EE4" w:rsidP="00BD1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secondaires suivants ont été rapportés dans de très rares cas au cours d'un traitement avec d'autres </w:t>
      </w:r>
      <w:proofErr w:type="spellStart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fluoroquinolones</w:t>
      </w:r>
      <w:proofErr w:type="spellEnd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Ils sont donc susceptibles de survenir également au cours d'un traitement avec la </w:t>
      </w:r>
      <w:proofErr w:type="spellStart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moxifloxacine</w:t>
      </w:r>
      <w:proofErr w:type="spellEnd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proofErr w:type="spellStart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hypernatrémie</w:t>
      </w:r>
      <w:proofErr w:type="spellEnd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hypercalcémie, anémie hémolytique, </w:t>
      </w:r>
      <w:proofErr w:type="spellStart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rhabdomyolyse</w:t>
      </w:r>
      <w:proofErr w:type="spellEnd"/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réactions de photosensibilité (</w:t>
      </w:r>
      <w:hyperlink w:anchor="Rcp_4_4_MisesEnGarde_2" w:history="1"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r w:rsidRPr="00DA4DE3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 xml:space="preserve">voir rubrique Mises en garde et précautions </w:t>
        </w:r>
        <w:proofErr w:type="gramStart"/>
        <w:r w:rsidRPr="00DA4DE3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fr-FR"/>
          </w:rPr>
          <w:t>d'emploi</w:t>
        </w:r>
        <w:r w:rsidRPr="00DA4DE3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DA4D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EE4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A5B77"/>
    <w:rsid w:val="007E4829"/>
    <w:rsid w:val="008075EC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BD1EE4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869AE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2013-11-19T12:54:00Z</dcterms:created>
  <dcterms:modified xsi:type="dcterms:W3CDTF">2013-11-19T12:55:00Z</dcterms:modified>
</cp:coreProperties>
</file>