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62"/>
        <w:gridCol w:w="3175"/>
      </w:tblGrid>
      <w:tr w:rsidR="00BD1EE4" w:rsidRPr="00DA4DE3" w:rsidTr="00947551">
        <w:trPr>
          <w:tblCellSpacing w:w="15" w:type="dxa"/>
        </w:trPr>
        <w:tc>
          <w:tcPr>
            <w:tcW w:w="0" w:type="auto"/>
            <w:shd w:val="clear" w:color="auto" w:fill="990000"/>
            <w:vAlign w:val="center"/>
            <w:hideMark/>
          </w:tcPr>
          <w:p w:rsidR="00BD1EE4" w:rsidRPr="00DA4DE3" w:rsidRDefault="00BD1EE4" w:rsidP="00BD1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moxifloxacine </w:t>
            </w:r>
          </w:p>
        </w:tc>
        <w:tc>
          <w:tcPr>
            <w:tcW w:w="0" w:type="auto"/>
            <w:vAlign w:val="center"/>
            <w:hideMark/>
          </w:tcPr>
          <w:p w:rsidR="00BD1EE4" w:rsidRPr="00DA4DE3" w:rsidRDefault="00BD1EE4" w:rsidP="009475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Verdana" w:eastAsia="Times New Roman" w:hAnsi="Verdana" w:cs="Times New Roman"/>
                <w:b/>
                <w:bCs/>
                <w:color w:val="990000"/>
                <w:sz w:val="24"/>
                <w:szCs w:val="24"/>
                <w:lang w:eastAsia="fr-FR"/>
              </w:rPr>
              <w:t>EFFETS INDÉSIRABLES</w:t>
            </w: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</w:tr>
    </w:tbl>
    <w:p w:rsidR="00BD1EE4" w:rsidRPr="00DA4DE3" w:rsidRDefault="00BD1EE4" w:rsidP="00BD1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bookmarkStart w:id="0" w:name="_Toc142278917"/>
      <w:bookmarkStart w:id="1" w:name="Rcp_4_8_EffetsIndesirables_6"/>
      <w:bookmarkEnd w:id="0"/>
      <w:bookmarkEnd w:id="1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événements indésirables observés dans les essais cliniques avec la </w:t>
      </w:r>
      <w:proofErr w:type="spellStart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moxifloxacine</w:t>
      </w:r>
      <w:proofErr w:type="spellEnd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administrée à raison de 400 mg par jour par voies IV ou orale (administration par voie intraveineuse uniquement, traitement séquentiel [voie intraveineuse/voie orale] et administration par voie orale), sont énumérés ci-dessous classés selon les catégories de fréquence: </w:t>
      </w:r>
    </w:p>
    <w:p w:rsidR="00BD1EE4" w:rsidRPr="00DA4DE3" w:rsidRDefault="00BD1EE4" w:rsidP="00BD1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Hormis les nausées et les diarrhées, tous les événements indésirables ont été observés à une fréquence inférieure à 3 %. </w:t>
      </w:r>
    </w:p>
    <w:p w:rsidR="00BD1EE4" w:rsidRPr="00DA4DE3" w:rsidRDefault="00BD1EE4" w:rsidP="00BD1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Dans chaque catégorie de fréquence, les effets indésirables sont présentés par ordre décroissant de gravité.</w:t>
      </w: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  <w:t xml:space="preserve">Les fréquences sont définies ainsi : </w:t>
      </w:r>
    </w:p>
    <w:p w:rsidR="00BD1EE4" w:rsidRPr="00DA4DE3" w:rsidRDefault="00BD1EE4" w:rsidP="00BD1EE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Fréquent (≥ 1/100 à &lt; 1/10) </w:t>
      </w:r>
    </w:p>
    <w:p w:rsidR="00BD1EE4" w:rsidRPr="00DA4DE3" w:rsidRDefault="00BD1EE4" w:rsidP="00BD1EE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 fréquent (≥ 1/1 000 à &lt; 1/100) </w:t>
      </w:r>
    </w:p>
    <w:p w:rsidR="00BD1EE4" w:rsidRPr="00DA4DE3" w:rsidRDefault="00BD1EE4" w:rsidP="00BD1EE4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Rare (≥ 1/10 000 à &lt; 1/1 000) </w:t>
      </w:r>
    </w:p>
    <w:p w:rsidR="00BD1EE4" w:rsidRPr="00DA4DE3" w:rsidRDefault="00BD1EE4" w:rsidP="00BD1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Très rare (&lt; 1/10 000). </w:t>
      </w:r>
    </w:p>
    <w:tbl>
      <w:tblPr>
        <w:tblW w:w="9968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06"/>
        <w:gridCol w:w="1876"/>
        <w:gridCol w:w="2916"/>
        <w:gridCol w:w="2249"/>
        <w:gridCol w:w="2089"/>
      </w:tblGrid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Classe de 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Fréquent </w:t>
            </w:r>
          </w:p>
        </w:tc>
        <w:tc>
          <w:tcPr>
            <w:tcW w:w="25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Peu fréquent 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Rare </w:t>
            </w:r>
          </w:p>
        </w:tc>
        <w:tc>
          <w:tcPr>
            <w:tcW w:w="18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Très rare </w:t>
            </w: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systèmes organes (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MedDRA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Infections et infestations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Surinfections bactériennes ou fongiques dues à un micro-organisme résistant telles que candidoses orales ou vaginales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hématologiques et du système lymphatique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Anémie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Leucopénie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Neutropénie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Thrombopénie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Thrombocytémie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Eosinophilie sanguine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Diminution du taux de </w:t>
            </w: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prothrombine/augmentation de l'INR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du taux de prothrombine / diminution de l'INR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Agranulocytose </w:t>
            </w: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Affections du système immunitaire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Réactions allergiques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Réactions anaphylactiques dont très rare choc pouvant mettre en jeu le pronostic vital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Œdème allergique / Œdème de Quincke (y compris œdème laryngé pouvant mettre en jeu le pronostic vital)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du métabolisme et de la nutrition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Hyperlipidémie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Hyperglycémie </w:t>
            </w:r>
          </w:p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Hyperuricémie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psychiatriques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Réactions d'anxiété </w:t>
            </w:r>
          </w:p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Hyperactivité psychomotrice/agitation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Instabilité émotionnelle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Dépression (dans de très rares cas pouvant aboutir à des actes d'auto-agression, tels </w:t>
            </w:r>
            <w:proofErr w:type="gram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que idées/pensées</w:t>
            </w:r>
            <w:proofErr w:type="gram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suicidaires ou tentatives de suicide, voir rubrique 4.4) </w:t>
            </w:r>
          </w:p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Hallucinations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Dépersonnalisation </w:t>
            </w:r>
          </w:p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Réactions psychotiques (pouvant aboutir à des actes d'auto-agression tels que idées/pensées suicidaires ou tentatives de suicide, voir rubrique 4.4) </w:t>
            </w: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 système nerveux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Céphalées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Sensations vertigineuses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Par- et Dysesthésies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Perversion du goût (y compris perte du goût dans de très rares cas)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Confusion et désorientation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du sommeil (particulièrement insomnie)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Tremblements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Vertiges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Somnolence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Hypoesthésies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Perversion de l'odorat (y compris perte de l'odorat)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Cauchemars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de la coordination (y compris troubles de </w:t>
            </w: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la marche en particulier dus aux étourdissements ou aux vertiges)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Convulsions (y compris grand mal)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de l'attention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de la parole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Amnésie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Neuropathie périphérique et 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polyneuropathie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100" w:afterAutospacing="1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Hyperesthésies </w:t>
            </w: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Affections oculaires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visuels y compris diplopie et vision floue (en particulier au cours de réactions du SNC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Perte de vision transitoire (en particulier au cours de réactions neurologiques (voir rubriques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</w:t>
            </w:r>
            <w:hyperlink w:anchor="machi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Conduite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). </w:t>
            </w: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de l'oreille et du labyrinthe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Acouphènes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de l'audition y compris surdité (généralement réversible)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cardiaques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Allongement de l'intervalle QT chez des patients 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hypokaliémiques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(voir rubriques </w:t>
            </w:r>
            <w:hyperlink w:anchor="contr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Contre-indications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et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Allongement de l'intervalle QT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Palpitations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Tachycardie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Fibrillation auriculaire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Angor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Tachyarythmies ventriculaires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Syncope (ex : brèves pertes de connaissance) </w:t>
            </w:r>
          </w:p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Arythmies cardiaques (non spécifiées)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Torsade de Pointes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Arrêt cardiaque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Affections vasculaires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Vasodilatation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Hypertension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Hypotension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respiratoires, thoraciques et 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médiastinales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Dyspnée (y compris asthme)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gastro-intestinales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Nausées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Vomissements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Douleurs gastro-intestinales et abdominales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Diarrhée </w:t>
            </w:r>
          </w:p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Diminution de l'appétit et de la prise alimentaire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Constipation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Dyspepsie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Flatulence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Gastrite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Augmentation de l'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amylasémie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Dysphagie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Stomatites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Colites associées aux antibiotiques (y compris colite pseudomembraneuse associée dans de très rares cas à des complications mettant en jeu le pronostic vital)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hépato-biliaires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des transaminases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Altération de la fonction hépatique (dont augmentation des LDH)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de la bilirubine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Augmentation de la gamma-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glutamyl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-transférase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Augmentation des phosphatases alcalines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Ictère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Hépatite (essentiellement 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cholestatique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Hépatite fulminante pouvant aboutir à une insuffisance hépatique menaçant le pronostic vital (parfois fatale)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de la peau et du tissu sous-cutané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Prurit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Rash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Urticaire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Sècheresse cutanée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Réactions cutanées bulleuses à type de Syndrome de Stevens-Johnson </w:t>
            </w: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ou syndrome de Lyell (pouvant menacer le pronostic vital, voir rubrique 4.4) </w:t>
            </w: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lastRenderedPageBreak/>
              <w:t xml:space="preserve">Affections 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musculo</w:t>
            </w:r>
            <w:proofErr w:type="spell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-squelettiques et systémiques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Arthralgies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Myalgies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Tendinites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Crampes musculaires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Fasciculations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Faiblesse musculaire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Rupture des tendons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Arthrite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Rigidité musculaire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Exacerbation des symptômes de myasthénie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) </w:t>
            </w: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Affections du rein et des voies urinaires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Déshydratation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Altération de la fonction rénale (dont augmentation de la créatinine et urée)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Insuffisance rénale (voir rubrique </w:t>
            </w:r>
            <w:hyperlink w:anchor="mises" w:history="1">
              <w:r w:rsidRPr="00DA4DE3">
                <w:rPr>
                  <w:rFonts w:ascii="Times New Roman" w:eastAsia="Times New Roman" w:hAnsi="Times New Roman" w:cs="Times New Roman"/>
                  <w:color w:val="990000"/>
                  <w:sz w:val="24"/>
                  <w:szCs w:val="24"/>
                  <w:u w:val="single"/>
                  <w:lang w:eastAsia="fr-FR"/>
                </w:rPr>
                <w:t>Mises en garde et précautions d'emploi</w:t>
              </w:r>
            </w:hyperlink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.)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BD1EE4" w:rsidRPr="00DA4DE3" w:rsidTr="00947551">
        <w:trPr>
          <w:tblCellSpacing w:w="0" w:type="dxa"/>
          <w:jc w:val="center"/>
        </w:trPr>
        <w:tc>
          <w:tcPr>
            <w:tcW w:w="1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Troubles généraux et anomalies au site d'administration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Réactions au site d'injection </w:t>
            </w:r>
          </w:p>
        </w:tc>
        <w:tc>
          <w:tcPr>
            <w:tcW w:w="2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Sensation de mal-être (essentiellement asthénie ou fatigue)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Douleurs (incluant douleurs dorsales, thoraciques, pelviennes et des extrémités)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Sudation </w:t>
            </w:r>
          </w:p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proofErr w:type="gram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( </w:t>
            </w:r>
            <w:proofErr w:type="spellStart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>Thrombo</w:t>
            </w:r>
            <w:proofErr w:type="spellEnd"/>
            <w:proofErr w:type="gramEnd"/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-)phlébite au site de perfusion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before="100" w:beforeAutospacing="1" w:after="0" w:line="2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  <w:r w:rsidRPr="00DA4D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  <w:t xml:space="preserve">Œdème 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1EE4" w:rsidRPr="00DA4DE3" w:rsidRDefault="00BD1EE4" w:rsidP="00947551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</w:tbl>
    <w:p w:rsidR="00BD1EE4" w:rsidRPr="00DA4DE3" w:rsidRDefault="00BD1EE4" w:rsidP="00BD1EE4">
      <w:pPr>
        <w:spacing w:before="12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indésirables suivants ont été observés à une fréquence plus élevée dans le sous-groupe des patients traités par voie intraveineuse, avec ou sans traitement oral séquentiel: </w:t>
      </w:r>
    </w:p>
    <w:p w:rsidR="00BD1EE4" w:rsidRPr="00DA4DE3" w:rsidRDefault="00BD1EE4" w:rsidP="00BD1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Fréquents: augmentation des gamma-GT </w:t>
      </w:r>
    </w:p>
    <w:p w:rsidR="00BD1EE4" w:rsidRPr="00DA4DE3" w:rsidRDefault="00BD1EE4" w:rsidP="00BD1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Peu fréquents: tachyarythmies ventriculaires, hypotension, œdème, colite associée à l'antibiotique (y compris colite pseudomembraneuse, dans de très rares cas associée à des complications pouvant mettre en jeu le pronostic vital; </w:t>
      </w:r>
      <w:hyperlink w:anchor="Rcp_4_4_MisesEnGarde_2" w:history="1">
        <w:r w:rsidRPr="00DA4DE3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>voir rubrique Mises en garde et précautions d'emploi</w:t>
        </w:r>
      </w:hyperlink>
      <w:hyperlink w:anchor="Rcp_4_4_MisesEnGarde_2" w:history="1">
        <w:r w:rsidRPr="00DA4DE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</w:hyperlink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), crises convulsives y compris des crises de grand mal (</w:t>
      </w:r>
      <w:hyperlink w:anchor="Rcp_4_4_MisesEnGarde_2" w:history="1">
        <w:r w:rsidRPr="00DA4DE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r w:rsidRPr="00DA4DE3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>voir rubrique Mises en garde et précautions d'emploi</w:t>
        </w:r>
        <w:r w:rsidRPr="00DA4DE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</w:hyperlink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), hallucinations, altération de la fonction rénale (dont augmentation de l'urée et de la créatinine), insuffisance rénale (</w:t>
      </w:r>
      <w:hyperlink w:anchor="Rcp_4_4_MisesEnGarde_2" w:history="1">
        <w:r w:rsidRPr="00DA4DE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r w:rsidRPr="00DA4DE3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>voir rubrique Mises en garde et précautions d'emploi</w:t>
        </w:r>
        <w:r w:rsidRPr="00DA4DE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</w:hyperlink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BD1EE4" w:rsidRPr="00DA4DE3" w:rsidRDefault="00BD1EE4" w:rsidP="00BD1E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Les effets secondaires suivants ont été rapportés dans de très rares cas au cours d'un traitement avec d'autres </w:t>
      </w:r>
      <w:proofErr w:type="spellStart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fluoroquinolones</w:t>
      </w:r>
      <w:proofErr w:type="spellEnd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. Ils sont donc susceptibles de survenir également au cours d'un traitement avec la </w:t>
      </w:r>
      <w:proofErr w:type="spellStart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moxifloxacine</w:t>
      </w:r>
      <w:proofErr w:type="spellEnd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proofErr w:type="spellStart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hypernatrémie</w:t>
      </w:r>
      <w:proofErr w:type="spellEnd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hypercalcémie, anémie hémolytique, </w:t>
      </w:r>
      <w:proofErr w:type="spellStart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rhabdomyolyse</w:t>
      </w:r>
      <w:proofErr w:type="spellEnd"/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réactions de photosensibilité (</w:t>
      </w:r>
      <w:hyperlink w:anchor="Rcp_4_4_MisesEnGarde_2" w:history="1">
        <w:r w:rsidRPr="00DA4DE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r w:rsidRPr="00DA4DE3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 xml:space="preserve">voir rubrique Mises en garde et précautions </w:t>
        </w:r>
        <w:proofErr w:type="gramStart"/>
        <w:r w:rsidRPr="00DA4DE3">
          <w:rPr>
            <w:rFonts w:ascii="Arial" w:eastAsia="Times New Roman" w:hAnsi="Arial" w:cs="Arial"/>
            <w:color w:val="990000"/>
            <w:sz w:val="24"/>
            <w:szCs w:val="24"/>
            <w:u w:val="single"/>
            <w:lang w:eastAsia="fr-FR"/>
          </w:rPr>
          <w:t>d'emploi</w:t>
        </w:r>
        <w:r w:rsidRPr="00DA4DE3">
          <w:rPr>
            <w:rFonts w:ascii="Times New Roman" w:eastAsia="Times New Roman" w:hAnsi="Times New Roman" w:cs="Times New Roman"/>
            <w:color w:val="990000"/>
            <w:sz w:val="24"/>
            <w:szCs w:val="24"/>
            <w:u w:val="single"/>
            <w:lang w:eastAsia="fr-FR"/>
          </w:rPr>
          <w:t xml:space="preserve"> </w:t>
        </w:r>
        <w:proofErr w:type="gramEnd"/>
      </w:hyperlink>
      <w:r w:rsidRPr="00DA4DE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). </w:t>
      </w:r>
    </w:p>
    <w:p w:rsidR="00DE34F8" w:rsidRDefault="00DE34F8"/>
    <w:sectPr w:rsidR="00DE34F8" w:rsidSect="00DE3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BD1EE4"/>
    <w:rsid w:val="00017B31"/>
    <w:rsid w:val="0006330F"/>
    <w:rsid w:val="0009769E"/>
    <w:rsid w:val="000C4178"/>
    <w:rsid w:val="00120A2B"/>
    <w:rsid w:val="00132903"/>
    <w:rsid w:val="001931B1"/>
    <w:rsid w:val="001A53D5"/>
    <w:rsid w:val="001B3E26"/>
    <w:rsid w:val="00282113"/>
    <w:rsid w:val="002D0F57"/>
    <w:rsid w:val="003164DC"/>
    <w:rsid w:val="0034030B"/>
    <w:rsid w:val="00370323"/>
    <w:rsid w:val="004276C2"/>
    <w:rsid w:val="004771A7"/>
    <w:rsid w:val="00521B28"/>
    <w:rsid w:val="005630AF"/>
    <w:rsid w:val="00587FAE"/>
    <w:rsid w:val="00610963"/>
    <w:rsid w:val="0062264F"/>
    <w:rsid w:val="00673C6F"/>
    <w:rsid w:val="006A4DC8"/>
    <w:rsid w:val="006D4445"/>
    <w:rsid w:val="0070624C"/>
    <w:rsid w:val="007628F0"/>
    <w:rsid w:val="0078077B"/>
    <w:rsid w:val="007A24F8"/>
    <w:rsid w:val="007A5B77"/>
    <w:rsid w:val="007E4829"/>
    <w:rsid w:val="008075EC"/>
    <w:rsid w:val="00816CD7"/>
    <w:rsid w:val="00841542"/>
    <w:rsid w:val="008D2D19"/>
    <w:rsid w:val="008F30B2"/>
    <w:rsid w:val="00911C5C"/>
    <w:rsid w:val="00915F11"/>
    <w:rsid w:val="00945368"/>
    <w:rsid w:val="009D77C6"/>
    <w:rsid w:val="00A85F40"/>
    <w:rsid w:val="00A93A8E"/>
    <w:rsid w:val="00AB3D3B"/>
    <w:rsid w:val="00B37108"/>
    <w:rsid w:val="00B53AA5"/>
    <w:rsid w:val="00BB2DA5"/>
    <w:rsid w:val="00BD1EE4"/>
    <w:rsid w:val="00C12BD3"/>
    <w:rsid w:val="00C22AEF"/>
    <w:rsid w:val="00C54779"/>
    <w:rsid w:val="00C60C3B"/>
    <w:rsid w:val="00C64100"/>
    <w:rsid w:val="00C75EA1"/>
    <w:rsid w:val="00D20E84"/>
    <w:rsid w:val="00D914B1"/>
    <w:rsid w:val="00DB398C"/>
    <w:rsid w:val="00DE34F8"/>
    <w:rsid w:val="00DF229A"/>
    <w:rsid w:val="00E651C1"/>
    <w:rsid w:val="00E869AE"/>
    <w:rsid w:val="00EB4024"/>
    <w:rsid w:val="00EE1C81"/>
    <w:rsid w:val="00F147E9"/>
    <w:rsid w:val="00F271B2"/>
    <w:rsid w:val="00F5756F"/>
    <w:rsid w:val="00F65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1E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1253</Words>
  <Characters>6896</Characters>
  <Application>Microsoft Office Word</Application>
  <DocSecurity>0</DocSecurity>
  <Lines>57</Lines>
  <Paragraphs>16</Paragraphs>
  <ScaleCrop>false</ScaleCrop>
  <Company/>
  <LinksUpToDate>false</LinksUpToDate>
  <CharactersWithSpaces>8133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DUVAAL</dc:creator>
  <cp:keywords/>
  <dc:description/>
  <cp:lastModifiedBy>DUVAAL</cp:lastModifiedBy>
  <cp:revision>1</cp:revision>
  <dcterms:created xsi:type="dcterms:W3CDTF">2013-11-19T12:54:00Z</dcterms:created>
  <dcterms:modified xsi:type="dcterms:W3CDTF">2013-11-19T12:55:00Z</dcterms:modified>
</cp:coreProperties>
</file>